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41" w:rsidRDefault="00F74941">
      <w:pPr>
        <w:pStyle w:val="Body"/>
        <w:pBdr>
          <w:top w:val="none" w:sz="0" w:space="0" w:color="auto"/>
          <w:left w:val="none" w:sz="0" w:space="0" w:color="auto"/>
          <w:bottom w:val="none" w:sz="0" w:space="0" w:color="auto"/>
          <w:right w:val="none" w:sz="0" w:space="0" w:color="auto"/>
          <w:bar w:val="none" w:sz="0" w:color="auto"/>
        </w:pBdr>
        <w:jc w:val="center"/>
        <w:rPr>
          <w:b/>
          <w:bCs/>
          <w:sz w:val="32"/>
          <w:szCs w:val="32"/>
          <w:u w:val="single"/>
        </w:rPr>
      </w:pPr>
      <w:r>
        <w:rPr>
          <w:b/>
          <w:bCs/>
          <w:sz w:val="32"/>
          <w:szCs w:val="32"/>
          <w:u w:val="single"/>
        </w:rPr>
        <w:t>Irish Squash Junior Selection Criteria for 2016/2017 Season</w:t>
      </w:r>
    </w:p>
    <w:p w:rsidR="00F74941" w:rsidRDefault="00F74941">
      <w:pPr>
        <w:pStyle w:val="Body"/>
        <w:pBdr>
          <w:top w:val="none" w:sz="0" w:space="0" w:color="auto"/>
          <w:left w:val="none" w:sz="0" w:space="0" w:color="auto"/>
          <w:bottom w:val="none" w:sz="0" w:space="0" w:color="auto"/>
          <w:right w:val="none" w:sz="0" w:space="0" w:color="auto"/>
          <w:bar w:val="none" w:sz="0" w:color="auto"/>
        </w:pBdr>
        <w:jc w:val="center"/>
        <w:rPr>
          <w:b/>
          <w:bCs/>
          <w:sz w:val="24"/>
          <w:szCs w:val="24"/>
          <w:u w:val="single"/>
        </w:rPr>
      </w:pPr>
    </w:p>
    <w:p w:rsidR="00F74941" w:rsidRDefault="00F74941">
      <w:pPr>
        <w:pStyle w:val="Body"/>
        <w:pBdr>
          <w:top w:val="none" w:sz="0" w:space="0" w:color="auto"/>
          <w:left w:val="none" w:sz="0" w:space="0" w:color="auto"/>
          <w:bottom w:val="none" w:sz="0" w:space="0" w:color="auto"/>
          <w:right w:val="none" w:sz="0" w:space="0" w:color="auto"/>
          <w:bar w:val="none" w:sz="0" w:color="auto"/>
        </w:pBdr>
        <w:jc w:val="center"/>
        <w:rPr>
          <w:b/>
          <w:bCs/>
          <w:sz w:val="24"/>
          <w:szCs w:val="24"/>
          <w:u w:val="single"/>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b/>
          <w:bCs/>
          <w:sz w:val="24"/>
          <w:szCs w:val="24"/>
          <w:u w:val="single"/>
        </w:rPr>
      </w:pPr>
      <w:r>
        <w:rPr>
          <w:rFonts w:ascii="Trebuchet MS" w:eastAsia="Times New Roman"/>
          <w:b/>
          <w:bCs/>
          <w:sz w:val="28"/>
          <w:szCs w:val="28"/>
          <w:u w:val="single"/>
        </w:rPr>
        <w:t>Policy Statement</w:t>
      </w: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r>
        <w:rPr>
          <w:rFonts w:ascii="Trebuchet MS" w:eastAsia="Times New Roman"/>
          <w:sz w:val="24"/>
          <w:szCs w:val="24"/>
        </w:rPr>
        <w:t>It is the policy of Irish Squash that for national team selection, our aim is to field the strongest possible team at all levels. Those responsible for junior team selection are the Junior Administrator,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4"/>
          <w:szCs w:val="24"/>
        </w:rPr>
      </w:pPr>
    </w:p>
    <w:p w:rsidR="00F74941" w:rsidRDefault="00F74941">
      <w:pPr>
        <w:pStyle w:val="NoSpacing"/>
        <w:pBdr>
          <w:top w:val="none" w:sz="0" w:space="0" w:color="auto"/>
          <w:left w:val="none" w:sz="0" w:space="0" w:color="auto"/>
          <w:bottom w:val="none" w:sz="0" w:space="0" w:color="auto"/>
          <w:right w:val="none" w:sz="0" w:space="0" w:color="auto"/>
          <w:bar w:val="none" w:sz="0" w:color="auto"/>
        </w:pBdr>
        <w:rPr>
          <w:sz w:val="28"/>
          <w:szCs w:val="28"/>
        </w:rPr>
      </w:pPr>
      <w:r>
        <w:rPr>
          <w:b/>
          <w:bCs/>
          <w:sz w:val="28"/>
          <w:szCs w:val="28"/>
        </w:rPr>
        <w:t xml:space="preserve">Under  13/15/17/19 will all follow the same </w:t>
      </w:r>
      <w:r>
        <w:rPr>
          <w:b/>
          <w:bCs/>
          <w:sz w:val="28"/>
          <w:szCs w:val="28"/>
          <w:u w:val="single"/>
        </w:rPr>
        <w:t>general criteria</w:t>
      </w:r>
      <w:r>
        <w:rPr>
          <w:b/>
          <w:bCs/>
          <w:sz w:val="28"/>
          <w:szCs w:val="28"/>
        </w:rPr>
        <w:t xml:space="preserve"> as follows:</w:t>
      </w:r>
    </w:p>
    <w:p w:rsidR="00F74941" w:rsidRDefault="00F74941">
      <w:pPr>
        <w:pStyle w:val="NoSpacing"/>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Players must be eligible to play for Ireland (see Irish Squash Bye Laws - previous page on website - Eligability ) and be under the relevant age on the final day of the relevant competition and be selected by the selection committee.</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All players wishing to play and qualify for selection to represent Irish Squash at European Squash and World Squash Championships must play 2 full seasons before being considered for Team selection.  These do not have to be done consecutively.</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Players qualifying to play for Ireland as Irish Citizens living abroad must declare for Ireland at U17 level at the latest to be considered for Junior Selection.</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b/>
          <w:bCs/>
          <w:sz w:val="28"/>
          <w:szCs w:val="28"/>
          <w:u w:val="single"/>
        </w:rPr>
        <w:t>Specific Under 13/15/17 team criteria</w:t>
      </w:r>
      <w:r>
        <w:rPr>
          <w:b/>
          <w:bCs/>
          <w:sz w:val="28"/>
          <w:szCs w:val="28"/>
        </w:rPr>
        <w:t>:</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u w:val="single"/>
        </w:rPr>
      </w:pPr>
      <w:r>
        <w:rPr>
          <w:sz w:val="24"/>
          <w:szCs w:val="24"/>
        </w:rPr>
        <w:t>Selection will be based on a Player’s best three junior competitions from:</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3"/>
        </w:numP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Connacht Open, The Ulster Open, The Munster Open, The Leinster Open</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3"/>
        </w:numPr>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u w:val="single"/>
        </w:rPr>
        <w:t>Plus</w:t>
      </w:r>
      <w:r>
        <w:rPr>
          <w:sz w:val="24"/>
          <w:szCs w:val="24"/>
        </w:rPr>
        <w:t xml:space="preserve"> The Irish Junior National (Closed) Championship</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Irish Junior Nationals earns higher points than the Provincial Opens</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Therefore a player’s best </w:t>
      </w:r>
      <w:r>
        <w:rPr>
          <w:b/>
          <w:bCs/>
          <w:sz w:val="24"/>
          <w:szCs w:val="24"/>
          <w:u w:val="single"/>
        </w:rPr>
        <w:t>4 tournaments</w:t>
      </w:r>
      <w:r>
        <w:rPr>
          <w:sz w:val="24"/>
          <w:szCs w:val="24"/>
        </w:rPr>
        <w:t xml:space="preserve"> will be used to calculate their ranking points which qualify them for national team selection.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Players wishing to be considered for selection must also play in the Irish Junior Open, although that competition will not earn any points (please note: </w:t>
      </w:r>
      <w:r>
        <w:rPr>
          <w:i/>
          <w:iCs/>
          <w:sz w:val="24"/>
          <w:szCs w:val="24"/>
        </w:rPr>
        <w:t>this competition has an earlier entry closing date as opposed to the provincial opens</w:t>
      </w:r>
      <w:r>
        <w:rPr>
          <w:sz w:val="24"/>
          <w:szCs w:val="24"/>
        </w:rPr>
        <w:t>).</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In the event of equality of points the selection committee will choose the player finally.</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r>
        <w:rPr>
          <w:rFonts w:ascii="Trebuchet MS" w:eastAsia="Times New Roman"/>
          <w:b/>
          <w:bCs/>
          <w:sz w:val="28"/>
          <w:szCs w:val="28"/>
          <w:u w:val="single"/>
        </w:rPr>
        <w:t>Specific Under 19 team criteria:</w:t>
      </w: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Selection will be based on a Player’s best two junior competitions from:</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4"/>
        </w:numP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Connacht Open, The Ulster Open, The Munster Open, The Leinster Open (of which, this 2016/2017 season, the Leinster Open is compulsory)</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4"/>
        </w:numPr>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Plus</w:t>
      </w:r>
      <w:r>
        <w:rPr>
          <w:sz w:val="24"/>
          <w:szCs w:val="24"/>
        </w:rPr>
        <w:t xml:space="preserve"> The Irish Junior National (Closed) Championship</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Irish Junior Nationals earns higher points than the Provincial Opens</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Therefore a player</w:t>
      </w:r>
      <w:r>
        <w:rPr>
          <w:sz w:val="24"/>
          <w:szCs w:val="24"/>
          <w:lang w:val="fr-FR"/>
        </w:rPr>
        <w:t>’</w:t>
      </w:r>
      <w:r>
        <w:rPr>
          <w:sz w:val="24"/>
          <w:szCs w:val="24"/>
        </w:rPr>
        <w:t xml:space="preserve">s best </w:t>
      </w:r>
      <w:r>
        <w:rPr>
          <w:b/>
          <w:bCs/>
          <w:sz w:val="24"/>
          <w:szCs w:val="24"/>
          <w:u w:val="single"/>
        </w:rPr>
        <w:t>3</w:t>
      </w:r>
      <w:r>
        <w:rPr>
          <w:b/>
          <w:bCs/>
          <w:sz w:val="24"/>
          <w:szCs w:val="24"/>
          <w:u w:val="single"/>
          <w:lang w:val="fr-FR"/>
        </w:rPr>
        <w:t xml:space="preserve"> tournaments</w:t>
      </w:r>
      <w:r>
        <w:rPr>
          <w:sz w:val="24"/>
          <w:szCs w:val="24"/>
        </w:rPr>
        <w:t xml:space="preserve"> will be used to calculate their ranking points which qualify them for national U19 team selection.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t>Players wishing to be considered for selection must also play in both:</w:t>
      </w:r>
    </w:p>
    <w:p w:rsidR="00F74941" w:rsidRDefault="00F74941">
      <w:pPr>
        <w:pStyle w:val="Body"/>
        <w:numPr>
          <w:ilvl w:val="4"/>
          <w:numId w:val="7"/>
        </w:numPr>
        <w:pBdr>
          <w:top w:val="none" w:sz="0" w:space="0" w:color="auto"/>
          <w:left w:val="none" w:sz="0" w:space="0" w:color="auto"/>
          <w:bottom w:val="none" w:sz="0" w:space="0" w:color="auto"/>
          <w:right w:val="none" w:sz="0" w:space="0" w:color="auto"/>
          <w:bar w:val="none" w:sz="0" w:color="auto"/>
        </w:pBdr>
        <w:tabs>
          <w:tab w:val="num" w:pos="900"/>
        </w:tabs>
        <w:ind w:left="900" w:hanging="180"/>
        <w:rPr>
          <w:position w:val="-2"/>
          <w:sz w:val="24"/>
          <w:szCs w:val="24"/>
        </w:rPr>
      </w:pPr>
      <w:r>
        <w:rPr>
          <w:sz w:val="24"/>
          <w:szCs w:val="24"/>
        </w:rPr>
        <w:t xml:space="preserve"> the Irish Junior Open, although that competition will not earn any points (please note: </w:t>
      </w:r>
      <w:r>
        <w:rPr>
          <w:i/>
          <w:iCs/>
          <w:sz w:val="24"/>
          <w:szCs w:val="24"/>
        </w:rPr>
        <w:t>this competition has an earlier entry closing date as opposed to the provincial opens</w:t>
      </w:r>
      <w:r>
        <w:rPr>
          <w:sz w:val="24"/>
          <w:szCs w:val="24"/>
        </w:rPr>
        <w:t xml:space="preserve">), </w:t>
      </w:r>
      <w:r>
        <w:rPr>
          <w:b/>
          <w:bCs/>
          <w:sz w:val="24"/>
          <w:szCs w:val="24"/>
        </w:rPr>
        <w:t>and</w:t>
      </w:r>
    </w:p>
    <w:p w:rsidR="00F74941" w:rsidRDefault="00F74941">
      <w:pPr>
        <w:pStyle w:val="Body"/>
        <w:numPr>
          <w:ilvl w:val="4"/>
          <w:numId w:val="7"/>
        </w:numPr>
        <w:pBdr>
          <w:top w:val="none" w:sz="0" w:space="0" w:color="auto"/>
          <w:left w:val="none" w:sz="0" w:space="0" w:color="auto"/>
          <w:bottom w:val="none" w:sz="0" w:space="0" w:color="auto"/>
          <w:right w:val="none" w:sz="0" w:space="0" w:color="auto"/>
          <w:bar w:val="none" w:sz="0" w:color="auto"/>
        </w:pBdr>
        <w:tabs>
          <w:tab w:val="num" w:pos="900"/>
        </w:tabs>
        <w:ind w:left="900" w:hanging="180"/>
        <w:rPr>
          <w:position w:val="-2"/>
          <w:sz w:val="24"/>
          <w:szCs w:val="24"/>
        </w:rPr>
      </w:pPr>
      <w:r>
        <w:rPr>
          <w:sz w:val="24"/>
          <w:szCs w:val="24"/>
        </w:rPr>
        <w:t>the Senior National Closed Championships (no points awarded for junior ranking but results may be considered in junior team selection)</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In the event of equality of points the selection committee will choose the player finally.</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u w:val="single"/>
        </w:rPr>
      </w:pPr>
      <w:r>
        <w:rPr>
          <w:rFonts w:ascii="Trebuchet MS" w:eastAsia="Times New Roman"/>
          <w:b/>
          <w:bCs/>
          <w:sz w:val="28"/>
          <w:szCs w:val="28"/>
          <w:u w:val="single"/>
        </w:rPr>
        <w:t>General selection criteria all age groups:</w:t>
      </w: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Provincial Opens should not clash with European Super Series events. In the event that one does clash the player will be awarded his/her average points gained at previous Provincial Opens if they attend the super series event. Top Players playing in Super Series events is both critical for their own ranking and consequently Irish Squash Team Rankings at ESF Events, as the teams are seeded in Team events based on the ESF Rankings of Team Players.</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 xml:space="preserve"> If a player is unable to compete in a tournament (or complete all matches over a tournament weekend) due to illness/injury a doctor’s/physiotherapist’s certificate/letter must be submitted to Irish Squash in the week following the tournament.</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moving up from one age group to the next during the season will carry over 50% of the points gained at the younger age group.</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who wish to play in two age groups (their own plus the next higher, during a season when they remain eligible throughout at the younger age category) must notify the Junior Secretary, in writing, before the start of the season (email is the preferred form of communication). They will then be asked by the selection committee to play in two Provincial Opens in correct age group and two Provincial Opens in the higher age group. The points earned in both age groups will be allocated to the player. The average scores earned in each age group will be awarded as the player</w:t>
      </w:r>
      <w:r>
        <w:rPr>
          <w:sz w:val="24"/>
          <w:szCs w:val="24"/>
          <w:lang w:val="fr-FR"/>
        </w:rPr>
        <w:t>’</w:t>
      </w:r>
      <w:r>
        <w:rPr>
          <w:sz w:val="24"/>
          <w:szCs w:val="24"/>
        </w:rPr>
        <w:t xml:space="preserve">s notional third tournament in each age group. For example: a player plays in Under 13 and Under 15. They come 2nd in both under 13 tournaments played so they will also receive a notional 2nd place for the 3rd tournament in this age group. This player also plays in Under 15 and is 3rd in both tournaments played. They will receive a notional 3rd place for the 3rd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 xml:space="preserve">If a player cannot fulfil the selection criteria due to exceptional circumstances this will be taken into consideration by the selection committee.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use of a wildcard will only be used at the unanimous decision of the selection committee.</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Players will be notified within two weeks of the final tournament if they have been selected for the Irish team. If selected a player must attend the National Squad coaching programme.</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numPr>
          <w:ilvl w:val="0"/>
          <w:numId w:val="9"/>
        </w:numPr>
        <w:pBdr>
          <w:top w:val="none" w:sz="0" w:space="0" w:color="auto"/>
          <w:left w:val="none" w:sz="0" w:space="0" w:color="auto"/>
          <w:bottom w:val="none" w:sz="0" w:space="0" w:color="auto"/>
          <w:right w:val="none" w:sz="0" w:space="0" w:color="auto"/>
          <w:bar w:val="none" w:sz="0" w:color="auto"/>
        </w:pBdr>
        <w:rPr>
          <w:sz w:val="29"/>
          <w:szCs w:val="29"/>
        </w:rPr>
      </w:pPr>
      <w:r>
        <w:rPr>
          <w:sz w:val="24"/>
          <w:szCs w:val="24"/>
        </w:rPr>
        <w:t>The Selection Committee will also consider a player</w:t>
      </w:r>
      <w:r>
        <w:rPr>
          <w:sz w:val="24"/>
          <w:szCs w:val="24"/>
          <w:lang w:val="fr-FR"/>
        </w:rPr>
        <w:t>’</w:t>
      </w:r>
      <w:r>
        <w:rPr>
          <w:sz w:val="24"/>
          <w:szCs w:val="24"/>
        </w:rPr>
        <w:t xml:space="preserve">s general behaviour on and off court, attendance at squad sessions, commitment to squash and adherence to whatever training programme is recommended by the Team Coach or National Coach.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28"/>
          <w:szCs w:val="28"/>
        </w:rPr>
      </w:pPr>
      <w:r>
        <w:rPr>
          <w:rFonts w:ascii="Trebuchet MS" w:eastAsia="Times New Roman"/>
          <w:b/>
          <w:bCs/>
          <w:sz w:val="28"/>
          <w:szCs w:val="28"/>
        </w:rPr>
        <w:t>Players Abroad</w:t>
      </w: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i/>
          <w:iCs/>
          <w:sz w:val="24"/>
          <w:szCs w:val="24"/>
        </w:rPr>
      </w:pPr>
      <w:r>
        <w:rPr>
          <w:rFonts w:ascii="Trebuchet MS" w:eastAsia="Times New Roman"/>
          <w:b/>
          <w:bCs/>
          <w:i/>
          <w:iCs/>
          <w:sz w:val="24"/>
          <w:szCs w:val="24"/>
        </w:rPr>
        <w:t>Studying Abroad</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This category will include players who have been previously ranked in Ireland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Previous ranking and current performance in college squash will be taken into consideration. It will be the player</w:t>
      </w:r>
      <w:r>
        <w:rPr>
          <w:sz w:val="24"/>
          <w:szCs w:val="24"/>
          <w:lang w:val="fr-FR"/>
        </w:rPr>
        <w:t>’</w:t>
      </w:r>
      <w:r>
        <w:rPr>
          <w:sz w:val="24"/>
          <w:szCs w:val="24"/>
        </w:rPr>
        <w:t>s responsibility to provide all relevant results to the selection committee throughout the season and in advance of team selection.</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Attendance at squad training at Christmas break. </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Match play event at Christmas break against home player. Players must give at least 6 weeks</w:t>
      </w:r>
      <w:r>
        <w:rPr>
          <w:sz w:val="24"/>
          <w:szCs w:val="24"/>
          <w:lang w:val="fr-FR"/>
        </w:rPr>
        <w:t xml:space="preserve">’ </w:t>
      </w:r>
      <w:r>
        <w:rPr>
          <w:sz w:val="24"/>
          <w:szCs w:val="24"/>
        </w:rPr>
        <w:t>notice of their return to Ireland in order to accommodate the arrangement of match plays.</w:t>
      </w:r>
    </w:p>
    <w:p w:rsidR="00F74941" w:rsidRDefault="00F74941">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i/>
          <w:iCs/>
          <w:sz w:val="24"/>
          <w:szCs w:val="24"/>
        </w:rPr>
      </w:pPr>
      <w:r>
        <w:rPr>
          <w:rFonts w:ascii="Trebuchet MS" w:eastAsia="Times New Roman"/>
          <w:b/>
          <w:bCs/>
          <w:i/>
          <w:iCs/>
          <w:sz w:val="24"/>
          <w:szCs w:val="24"/>
        </w:rPr>
        <w:t>Living Abroad</w:t>
      </w:r>
    </w:p>
    <w:p w:rsidR="00F74941" w:rsidRDefault="00F74941">
      <w:pPr>
        <w:pStyle w:val="Body"/>
        <w:pBdr>
          <w:top w:val="none" w:sz="0" w:space="0" w:color="auto"/>
          <w:left w:val="none" w:sz="0" w:space="0" w:color="auto"/>
          <w:bottom w:val="none" w:sz="0" w:space="0" w:color="auto"/>
          <w:right w:val="none" w:sz="0" w:space="0" w:color="auto"/>
          <w:bar w:val="none" w:sz="0" w:color="auto"/>
        </w:pBdr>
        <w:rPr>
          <w:sz w:val="24"/>
          <w:szCs w:val="24"/>
        </w:rPr>
      </w:pPr>
      <w:r>
        <w:rPr>
          <w:sz w:val="24"/>
          <w:szCs w:val="24"/>
        </w:rPr>
        <w:t>If an Irish player moves abroad or is living in another country, then they still have to fulfil the selection criteria for that season in full as above.</w:t>
      </w:r>
    </w:p>
    <w:p w:rsidR="00F74941" w:rsidRDefault="00F74941">
      <w:pPr>
        <w:pStyle w:val="Body"/>
        <w:pBdr>
          <w:top w:val="none" w:sz="0" w:space="0" w:color="auto"/>
          <w:left w:val="none" w:sz="0" w:space="0" w:color="auto"/>
          <w:bottom w:val="none" w:sz="0" w:space="0" w:color="auto"/>
          <w:right w:val="none" w:sz="0" w:space="0" w:color="auto"/>
          <w:bar w:val="none" w:sz="0" w:color="auto"/>
        </w:pBdr>
        <w:ind w:left="720"/>
        <w:rPr>
          <w:sz w:val="24"/>
          <w:szCs w:val="24"/>
        </w:rPr>
      </w:pPr>
    </w:p>
    <w:p w:rsidR="00F74941" w:rsidRDefault="00F74941">
      <w:pPr>
        <w:pStyle w:val="Body"/>
        <w:pBdr>
          <w:top w:val="none" w:sz="0" w:space="0" w:color="auto"/>
          <w:left w:val="none" w:sz="0" w:space="0" w:color="auto"/>
          <w:bottom w:val="none" w:sz="0" w:space="0" w:color="auto"/>
          <w:right w:val="none" w:sz="0" w:space="0" w:color="auto"/>
          <w:bar w:val="none" w:sz="0" w:color="auto"/>
        </w:pBdr>
        <w:ind w:left="720"/>
      </w:pPr>
    </w:p>
    <w:sectPr w:rsidR="00F74941" w:rsidSect="00E474A0">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41" w:rsidRDefault="00F74941" w:rsidP="00E474A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74941" w:rsidRDefault="00F74941" w:rsidP="00E474A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41" w:rsidRDefault="00F7494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41" w:rsidRDefault="00F74941" w:rsidP="00E474A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74941" w:rsidRDefault="00F74941" w:rsidP="00E474A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41" w:rsidRDefault="00F74941">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1289"/>
    <w:multiLevelType w:val="multilevel"/>
    <w:tmpl w:val="FFFFFFFF"/>
    <w:lvl w:ilvl="0">
      <w:start w:val="1"/>
      <w:numFmt w:val="bullet"/>
      <w:lvlText w:val="•"/>
      <w:lvlJc w:val="left"/>
      <w:pPr>
        <w:tabs>
          <w:tab w:val="num" w:pos="262"/>
        </w:tabs>
        <w:ind w:left="262" w:hanging="262"/>
      </w:pPr>
      <w:rPr>
        <w:position w:val="0"/>
        <w:sz w:val="29"/>
      </w:rPr>
    </w:lvl>
    <w:lvl w:ilvl="1">
      <w:start w:val="1"/>
      <w:numFmt w:val="bullet"/>
      <w:lvlText w:val="•"/>
      <w:lvlJc w:val="left"/>
      <w:pPr>
        <w:tabs>
          <w:tab w:val="num" w:pos="502"/>
        </w:tabs>
        <w:ind w:left="502" w:hanging="262"/>
      </w:pPr>
      <w:rPr>
        <w:position w:val="0"/>
        <w:sz w:val="29"/>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
    <w:nsid w:val="40FA6B57"/>
    <w:multiLevelType w:val="multilevel"/>
    <w:tmpl w:val="FFFFFFFF"/>
    <w:styleLink w:val="BulletBig"/>
    <w:lvl w:ilvl="0">
      <w:numFmt w:val="bullet"/>
      <w:lvlText w:val="•"/>
      <w:lvlJc w:val="left"/>
      <w:pPr>
        <w:tabs>
          <w:tab w:val="num" w:pos="262"/>
        </w:tabs>
        <w:ind w:left="262" w:hanging="262"/>
      </w:pPr>
      <w:rPr>
        <w:position w:val="0"/>
        <w:sz w:val="29"/>
      </w:rPr>
    </w:lvl>
    <w:lvl w:ilvl="1">
      <w:start w:val="1"/>
      <w:numFmt w:val="bullet"/>
      <w:lvlText w:val="•"/>
      <w:lvlJc w:val="left"/>
      <w:pPr>
        <w:tabs>
          <w:tab w:val="num" w:pos="502"/>
        </w:tabs>
        <w:ind w:left="502" w:hanging="262"/>
      </w:pPr>
      <w:rPr>
        <w:position w:val="0"/>
        <w:sz w:val="29"/>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2">
    <w:nsid w:val="419F24D5"/>
    <w:multiLevelType w:val="multilevel"/>
    <w:tmpl w:val="FFFFFFFF"/>
    <w:lvl w:ilvl="0">
      <w:start w:val="9"/>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3">
    <w:nsid w:val="42B72A3C"/>
    <w:multiLevelType w:val="multilevel"/>
    <w:tmpl w:val="FFFFFFFF"/>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4A46327E"/>
    <w:multiLevelType w:val="multilevel"/>
    <w:tmpl w:val="FFFFFFFF"/>
    <w:styleLink w:val="List0"/>
    <w:lvl w:ilvl="0">
      <w:start w:val="9"/>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5">
    <w:nsid w:val="5433000A"/>
    <w:multiLevelType w:val="multilevel"/>
    <w:tmpl w:val="FFFFFFFF"/>
    <w:styleLink w:val="List1"/>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60F27C21"/>
    <w:multiLevelType w:val="multilevel"/>
    <w:tmpl w:val="FFFFFFFF"/>
    <w:lvl w:ilvl="0">
      <w:start w:val="1"/>
      <w:numFmt w:val="bullet"/>
      <w:lvlText w:val="•"/>
      <w:lvlJc w:val="left"/>
      <w:pPr>
        <w:tabs>
          <w:tab w:val="num" w:pos="1050"/>
        </w:tabs>
        <w:ind w:left="105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1">
      <w:start w:val="1"/>
      <w:numFmt w:val="bullet"/>
      <w:lvlText w:val="o"/>
      <w:lvlJc w:val="left"/>
      <w:pPr>
        <w:tabs>
          <w:tab w:val="num" w:pos="1770"/>
        </w:tabs>
        <w:ind w:left="177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Calibri" w:eastAsia="Times New Roman" w:hAnsi="Calibri"/>
        <w:b w:val="0"/>
        <w:i w:val="0"/>
        <w:caps w:val="0"/>
        <w:smallCaps w:val="0"/>
        <w:strike w:val="0"/>
        <w:dstrike w:val="0"/>
        <w:outline w:val="0"/>
        <w:color w:val="000000"/>
        <w:spacing w:val="0"/>
        <w:kern w:val="0"/>
        <w:position w:val="0"/>
        <w:sz w:val="22"/>
        <w:u w:val="none" w:color="000000"/>
        <w:vertAlign w:val="baseline"/>
      </w:rPr>
    </w:lvl>
  </w:abstractNum>
  <w:abstractNum w:abstractNumId="7">
    <w:nsid w:val="6B916E61"/>
    <w:multiLevelType w:val="multilevel"/>
    <w:tmpl w:val="FFFFFFFF"/>
    <w:lvl w:ilvl="0">
      <w:start w:val="1"/>
      <w:numFmt w:val="bullet"/>
      <w:lvlText w:val="•"/>
      <w:lvlJc w:val="left"/>
      <w:pPr>
        <w:tabs>
          <w:tab w:val="num" w:pos="1050"/>
        </w:tabs>
        <w:ind w:left="1050" w:hanging="330"/>
      </w:pPr>
      <w:rPr>
        <w:position w:val="0"/>
        <w:sz w:val="24"/>
      </w:rPr>
    </w:lvl>
    <w:lvl w:ilvl="1">
      <w:start w:val="1"/>
      <w:numFmt w:val="bullet"/>
      <w:lvlText w:val="o"/>
      <w:lvlJc w:val="left"/>
      <w:pPr>
        <w:tabs>
          <w:tab w:val="num" w:pos="1800"/>
        </w:tabs>
        <w:ind w:left="1800" w:hanging="360"/>
      </w:pPr>
      <w:rPr>
        <w:position w:val="0"/>
        <w:sz w:val="24"/>
      </w:rPr>
    </w:lvl>
    <w:lvl w:ilvl="2">
      <w:start w:val="1"/>
      <w:numFmt w:val="bullet"/>
      <w:lvlText w:val="▪"/>
      <w:lvlJc w:val="left"/>
      <w:pPr>
        <w:tabs>
          <w:tab w:val="num" w:pos="2520"/>
        </w:tabs>
        <w:ind w:left="2520" w:hanging="360"/>
      </w:pPr>
      <w:rPr>
        <w:position w:val="0"/>
        <w:sz w:val="24"/>
      </w:rPr>
    </w:lvl>
    <w:lvl w:ilvl="3">
      <w:start w:val="1"/>
      <w:numFmt w:val="bullet"/>
      <w:lvlText w:val="•"/>
      <w:lvlJc w:val="left"/>
      <w:pPr>
        <w:tabs>
          <w:tab w:val="num" w:pos="3240"/>
        </w:tabs>
        <w:ind w:left="3240" w:hanging="360"/>
      </w:pPr>
      <w:rPr>
        <w:position w:val="0"/>
        <w:sz w:val="24"/>
      </w:rPr>
    </w:lvl>
    <w:lvl w:ilvl="4">
      <w:start w:val="1"/>
      <w:numFmt w:val="bullet"/>
      <w:lvlText w:val="o"/>
      <w:lvlJc w:val="left"/>
      <w:pPr>
        <w:tabs>
          <w:tab w:val="num" w:pos="3960"/>
        </w:tabs>
        <w:ind w:left="3960" w:hanging="360"/>
      </w:pPr>
      <w:rPr>
        <w:position w:val="0"/>
        <w:sz w:val="24"/>
      </w:rPr>
    </w:lvl>
    <w:lvl w:ilvl="5">
      <w:start w:val="1"/>
      <w:numFmt w:val="bullet"/>
      <w:lvlText w:val="▪"/>
      <w:lvlJc w:val="left"/>
      <w:pPr>
        <w:tabs>
          <w:tab w:val="num" w:pos="4680"/>
        </w:tabs>
        <w:ind w:left="4680" w:hanging="360"/>
      </w:pPr>
      <w:rPr>
        <w:position w:val="0"/>
        <w:sz w:val="24"/>
      </w:rPr>
    </w:lvl>
    <w:lvl w:ilvl="6">
      <w:start w:val="1"/>
      <w:numFmt w:val="bullet"/>
      <w:lvlText w:val="•"/>
      <w:lvlJc w:val="left"/>
      <w:pPr>
        <w:tabs>
          <w:tab w:val="num" w:pos="5400"/>
        </w:tabs>
        <w:ind w:left="5400" w:hanging="360"/>
      </w:pPr>
      <w:rPr>
        <w:position w:val="0"/>
        <w:sz w:val="24"/>
      </w:rPr>
    </w:lvl>
    <w:lvl w:ilvl="7">
      <w:start w:val="1"/>
      <w:numFmt w:val="bullet"/>
      <w:lvlText w:val="o"/>
      <w:lvlJc w:val="left"/>
      <w:pPr>
        <w:tabs>
          <w:tab w:val="num" w:pos="6120"/>
        </w:tabs>
        <w:ind w:left="6120" w:hanging="360"/>
      </w:pPr>
      <w:rPr>
        <w:position w:val="0"/>
        <w:sz w:val="24"/>
      </w:rPr>
    </w:lvl>
    <w:lvl w:ilvl="8">
      <w:start w:val="1"/>
      <w:numFmt w:val="bullet"/>
      <w:lvlText w:val="▪"/>
      <w:lvlJc w:val="left"/>
      <w:pPr>
        <w:tabs>
          <w:tab w:val="num" w:pos="6840"/>
        </w:tabs>
        <w:ind w:left="6840" w:hanging="360"/>
      </w:pPr>
      <w:rPr>
        <w:position w:val="0"/>
        <w:sz w:val="24"/>
      </w:rPr>
    </w:lvl>
  </w:abstractNum>
  <w:abstractNum w:abstractNumId="8">
    <w:nsid w:val="6FF13D2E"/>
    <w:multiLevelType w:val="multilevel"/>
    <w:tmpl w:val="FFFFFFFF"/>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7"/>
  </w:num>
  <w:num w:numId="2">
    <w:abstractNumId w:val="6"/>
  </w:num>
  <w:num w:numId="3">
    <w:abstractNumId w:val="2"/>
  </w:num>
  <w:num w:numId="4">
    <w:abstractNumId w:val="4"/>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4A0"/>
    <w:rsid w:val="001F735D"/>
    <w:rsid w:val="00200DE3"/>
    <w:rsid w:val="00341EAF"/>
    <w:rsid w:val="00452B82"/>
    <w:rsid w:val="00903108"/>
    <w:rsid w:val="00937113"/>
    <w:rsid w:val="00BC6F89"/>
    <w:rsid w:val="00E474A0"/>
    <w:rsid w:val="00F7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A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4A0"/>
    <w:rPr>
      <w:rFonts w:cs="Times New Roman"/>
      <w:u w:val="single"/>
    </w:rPr>
  </w:style>
  <w:style w:type="paragraph" w:customStyle="1" w:styleId="HeaderFooter">
    <w:name w:val="Header &amp; Footer"/>
    <w:uiPriority w:val="99"/>
    <w:rsid w:val="00E474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E474A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NoSpacing">
    <w:name w:val="No Spacing"/>
    <w:uiPriority w:val="99"/>
    <w:qFormat/>
    <w:rsid w:val="00E474A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numbering" w:customStyle="1" w:styleId="BulletBig">
    <w:name w:val="Bullet Big"/>
    <w:rsid w:val="00104333"/>
    <w:pPr>
      <w:numPr>
        <w:numId w:val="9"/>
      </w:numPr>
    </w:pPr>
  </w:style>
  <w:style w:type="numbering" w:customStyle="1" w:styleId="List0">
    <w:name w:val="List 0"/>
    <w:rsid w:val="00104333"/>
    <w:pPr>
      <w:numPr>
        <w:numId w:val="4"/>
      </w:numPr>
    </w:pPr>
  </w:style>
  <w:style w:type="numbering" w:customStyle="1" w:styleId="List1">
    <w:name w:val="List 1"/>
    <w:rsid w:val="00104333"/>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1068</Words>
  <Characters>6088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Junior Selection Criteria for 2016/2017 Season</dc:title>
  <dc:subject/>
  <dc:creator/>
  <cp:keywords/>
  <dc:description/>
  <cp:lastModifiedBy>Cathy Quinn</cp:lastModifiedBy>
  <cp:revision>2</cp:revision>
  <dcterms:created xsi:type="dcterms:W3CDTF">2016-09-13T16:38:00Z</dcterms:created>
  <dcterms:modified xsi:type="dcterms:W3CDTF">2016-09-13T16:38:00Z</dcterms:modified>
</cp:coreProperties>
</file>